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Silig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Sassari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